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38764">
      <w:pPr>
        <w:pStyle w:val="3"/>
        <w:spacing w:line="440" w:lineRule="exact"/>
        <w:rPr>
          <w:rFonts w:hint="eastAsia" w:ascii="宋体" w:hAnsi="宋体" w:eastAsia="宋体" w:cs="宋体"/>
          <w:color w:val="000000"/>
          <w:spacing w:val="0"/>
        </w:rPr>
      </w:pPr>
    </w:p>
    <w:p w14:paraId="51EA951B">
      <w:pPr>
        <w:pStyle w:val="3"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</w:rPr>
        <w:t>评 分 标 准</w:t>
      </w:r>
    </w:p>
    <w:p w14:paraId="4DE12948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542" w:firstLineChars="257"/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  <w:t>一、评审原则</w:t>
      </w:r>
    </w:p>
    <w:p w14:paraId="01AD2935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539" w:firstLineChars="257"/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  <w:t>(一)评委构成：5人（含采购科室代表1名）。中心纪检组安排1人进行全程监督，监督人员不参与评审打分及讨论。</w:t>
      </w:r>
    </w:p>
    <w:p w14:paraId="3EE5C339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539" w:firstLineChars="257"/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  <w:t>(二)评标依据：以招标文件和投标文件为基准，采用综合评分法。评委按照评分细则，对价格、技术、</w:t>
      </w:r>
      <w:r>
        <w:rPr>
          <w:rFonts w:hint="eastAsia" w:hAnsi="宋体" w:cs="宋体"/>
          <w:bCs/>
          <w:color w:val="auto"/>
          <w:spacing w:val="0"/>
          <w:sz w:val="21"/>
          <w:szCs w:val="21"/>
          <w:lang w:val="en-US" w:eastAsia="zh-CN"/>
        </w:rPr>
        <w:t>商务分</w:t>
      </w:r>
      <w:r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  <w:t>公正地评审打分。</w:t>
      </w:r>
    </w:p>
    <w:p w14:paraId="102A8D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542" w:firstLineChars="257"/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  <w:t>二、评标方法</w:t>
      </w:r>
    </w:p>
    <w:p w14:paraId="0BC8C5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539" w:firstLineChars="257"/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  <w:t>（一）对进入详评的，采用百分制综合评分法。</w:t>
      </w:r>
    </w:p>
    <w:p w14:paraId="19774431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539" w:firstLineChars="257"/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  <w:t>（二）计分办法（按四舍五入取至百分位）：</w:t>
      </w:r>
    </w:p>
    <w:tbl>
      <w:tblPr>
        <w:tblStyle w:val="4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67"/>
        <w:gridCol w:w="6288"/>
        <w:gridCol w:w="851"/>
      </w:tblGrid>
      <w:tr w14:paraId="7263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4" w:type="dxa"/>
            <w:noWrap w:val="0"/>
            <w:vAlign w:val="center"/>
          </w:tcPr>
          <w:p w14:paraId="6AEC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67" w:type="dxa"/>
            <w:noWrap w:val="0"/>
            <w:vAlign w:val="center"/>
          </w:tcPr>
          <w:p w14:paraId="2339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评审</w:t>
            </w:r>
          </w:p>
          <w:p w14:paraId="23A8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因素</w:t>
            </w:r>
          </w:p>
        </w:tc>
        <w:tc>
          <w:tcPr>
            <w:tcW w:w="6288" w:type="dxa"/>
            <w:noWrap w:val="0"/>
            <w:vAlign w:val="center"/>
          </w:tcPr>
          <w:p w14:paraId="29E7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评审因素具体内容</w:t>
            </w:r>
          </w:p>
        </w:tc>
        <w:tc>
          <w:tcPr>
            <w:tcW w:w="851" w:type="dxa"/>
            <w:noWrap w:val="0"/>
            <w:vAlign w:val="center"/>
          </w:tcPr>
          <w:p w14:paraId="364FF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分值</w:t>
            </w:r>
          </w:p>
        </w:tc>
      </w:tr>
      <w:tr w14:paraId="47DD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4" w:type="dxa"/>
            <w:noWrap w:val="0"/>
            <w:vAlign w:val="center"/>
          </w:tcPr>
          <w:p w14:paraId="776E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167" w:type="dxa"/>
            <w:noWrap w:val="0"/>
            <w:vAlign w:val="center"/>
          </w:tcPr>
          <w:p w14:paraId="1528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价格分</w:t>
            </w:r>
          </w:p>
        </w:tc>
        <w:tc>
          <w:tcPr>
            <w:tcW w:w="6288" w:type="dxa"/>
            <w:noWrap w:val="0"/>
            <w:vAlign w:val="top"/>
          </w:tcPr>
          <w:p w14:paraId="7C49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（1）满足文件要求且最低的报价为评标基准价，其价格分为满分。</w:t>
            </w:r>
          </w:p>
          <w:p w14:paraId="03E55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（2）价格分计算公式：        </w:t>
            </w:r>
          </w:p>
          <w:p w14:paraId="48E189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价格分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评标基准价／某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lang w:eastAsia="zh-CN"/>
              </w:rPr>
              <w:t>供应商竞标报价）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× 30分</w:t>
            </w:r>
          </w:p>
        </w:tc>
        <w:tc>
          <w:tcPr>
            <w:tcW w:w="851" w:type="dxa"/>
            <w:noWrap w:val="0"/>
            <w:vAlign w:val="center"/>
          </w:tcPr>
          <w:p w14:paraId="08F4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分</w:t>
            </w:r>
          </w:p>
        </w:tc>
      </w:tr>
      <w:tr w14:paraId="45A7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4" w:type="dxa"/>
            <w:noWrap w:val="0"/>
            <w:vAlign w:val="center"/>
          </w:tcPr>
          <w:p w14:paraId="6FA2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167" w:type="dxa"/>
            <w:noWrap w:val="0"/>
            <w:vAlign w:val="center"/>
          </w:tcPr>
          <w:p w14:paraId="36F4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技术分</w:t>
            </w:r>
          </w:p>
        </w:tc>
        <w:tc>
          <w:tcPr>
            <w:tcW w:w="6288" w:type="dxa"/>
            <w:noWrap w:val="0"/>
            <w:vAlign w:val="center"/>
          </w:tcPr>
          <w:p w14:paraId="3D578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851" w:type="dxa"/>
            <w:noWrap w:val="0"/>
            <w:vAlign w:val="center"/>
          </w:tcPr>
          <w:p w14:paraId="241E5E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55分</w:t>
            </w:r>
          </w:p>
        </w:tc>
      </w:tr>
      <w:tr w14:paraId="52A4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84" w:type="dxa"/>
            <w:noWrap w:val="0"/>
            <w:vAlign w:val="center"/>
          </w:tcPr>
          <w:p w14:paraId="7AB0C2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  <w:t>2.1</w:t>
            </w:r>
          </w:p>
        </w:tc>
        <w:tc>
          <w:tcPr>
            <w:tcW w:w="1167" w:type="dxa"/>
            <w:noWrap w:val="0"/>
            <w:vAlign w:val="center"/>
          </w:tcPr>
          <w:p w14:paraId="478F8A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  <w:t>技术性能分</w:t>
            </w:r>
          </w:p>
        </w:tc>
        <w:tc>
          <w:tcPr>
            <w:tcW w:w="6288" w:type="dxa"/>
            <w:noWrap w:val="0"/>
            <w:vAlign w:val="center"/>
          </w:tcPr>
          <w:p w14:paraId="7F24D0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技术参数完全满足</w:t>
            </w:r>
            <w:r>
              <w:rPr>
                <w:rFonts w:hint="eastAsia" w:ascii="宋体" w:hAnsi="宋体" w:cs="宋体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采购方参数技术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要求得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分，一般性技术参数（未标注“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”）负偏离一项扣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 xml:space="preserve">分，漏项的每一项扣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分，最多扣完本项分值（在</w:t>
            </w:r>
            <w:r>
              <w:rPr>
                <w:rFonts w:hint="eastAsia" w:ascii="宋体" w:hAnsi="宋体" w:cs="宋体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</w:rPr>
              <w:t>文件允许偏离的项数内）。</w:t>
            </w:r>
          </w:p>
        </w:tc>
        <w:tc>
          <w:tcPr>
            <w:tcW w:w="851" w:type="dxa"/>
            <w:noWrap w:val="0"/>
            <w:vAlign w:val="center"/>
          </w:tcPr>
          <w:p w14:paraId="31884B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分</w:t>
            </w:r>
          </w:p>
        </w:tc>
      </w:tr>
      <w:tr w14:paraId="7E6D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84" w:type="dxa"/>
            <w:noWrap w:val="0"/>
            <w:vAlign w:val="center"/>
          </w:tcPr>
          <w:p w14:paraId="2B8BB7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67" w:type="dxa"/>
            <w:noWrap w:val="0"/>
            <w:vAlign w:val="center"/>
          </w:tcPr>
          <w:p w14:paraId="038E43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方案分</w:t>
            </w:r>
          </w:p>
        </w:tc>
        <w:tc>
          <w:tcPr>
            <w:tcW w:w="6288" w:type="dxa"/>
            <w:noWrap w:val="0"/>
            <w:vAlign w:val="center"/>
          </w:tcPr>
          <w:p w14:paraId="0D28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评委根据供应商提供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的项目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方案从以下方面进行评估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，不提供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方案或者方案不满足档次要求的得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0分。</w:t>
            </w:r>
          </w:p>
          <w:p w14:paraId="6036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一档（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分）：基本满足项目实施要求，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图书编写出版制作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方案简单；提供拟投入本项目的实施团队人员名单，配备有实施团队人员≥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人，但没有详细的组织措施和明确的分工安排，项目实施方案基本可行。</w:t>
            </w:r>
          </w:p>
          <w:p w14:paraId="2502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二档（1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分）：较好满足项目实施要求，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图书编写出版制作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方案较详细具体，有较具体的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执行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计划；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出版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实施方案设计较为完整，有切实合理的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进度安排，验收措施合理，项目管理制度和方法严谨，项目实施方案可行。提供拟投入本项目的实施团队人员名单，配备有实施团队人员≥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人，有简单的组织措施，分工安排较明确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510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三档（1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分）：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能充分满足项目实施要求，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图书编写制作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培训方案详细、清晰，培训计划及培训内容详细、具体；实施方案条理清晰、方案明确、实施方案科学合理，设计完整，有明确的实施进度和管理措施，有明确的项目实施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，对项目实施质量有详细的控制方案和措施，能保证质量的各项技术措施实施到位，具备完善的验收方案，安全保障措施完善细致，项目实施方案可行性强，实施性强。提供拟投入本项目的实施团队人员名单，配备有实施团队人员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人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出版后，若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著作权人需要进行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成果申报或其他对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有益的立项，出版社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提供相应的证明和协助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20E741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分</w:t>
            </w:r>
          </w:p>
        </w:tc>
      </w:tr>
      <w:tr w14:paraId="31E1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84" w:type="dxa"/>
            <w:noWrap w:val="0"/>
            <w:vAlign w:val="center"/>
          </w:tcPr>
          <w:p w14:paraId="53316A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7" w:type="dxa"/>
            <w:noWrap w:val="0"/>
            <w:vAlign w:val="center"/>
          </w:tcPr>
          <w:p w14:paraId="7633A6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售后服务分</w:t>
            </w:r>
          </w:p>
        </w:tc>
        <w:tc>
          <w:tcPr>
            <w:tcW w:w="6288" w:type="dxa"/>
            <w:noWrap w:val="0"/>
            <w:vAlign w:val="center"/>
          </w:tcPr>
          <w:p w14:paraId="6DE06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评委根据供应商提供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售后服务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</w:rPr>
              <w:t>从以下方面进行评估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，不提供售后服务或者售后服务不满足档次要求的得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0分。</w:t>
            </w:r>
          </w:p>
          <w:p w14:paraId="030D9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一档（5分）：基本满足采购文件要求，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内容基本可行，有简单的免费售后服务期外的售后服务内容，提供本地化服务，但没有详细的组织措施和明确的分工安排。</w:t>
            </w:r>
          </w:p>
          <w:p w14:paraId="5B4C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二档（10分）：能较好满足采购文件要求，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内容较详细、具体，有具体的免费售后服务期外的售后服务内容和回访措施；接到采购人报障电话后3小时内通过电话或网络解决问题，若电话或网络无法解决的，须在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小时内派技术人员到达采购人指定地点解决，所有问题在12小时内解决，提供本地化服务，售后服务体系较完善，售后服务保证措施较得力，可行性较好。</w:t>
            </w:r>
          </w:p>
          <w:p w14:paraId="267FB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三档（1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分）：能充分满足采购文件要求，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内容、回访措施等内容详实、完整，具有针对性；比采购文件要求的延长一年以上免费售后服务期，接到采购人报障电话后1小时内通过电话或网络解决问题，若电话或网络无法解决的，须在3小时内派技术人员到达采购人指定地点解决，所有问题在8小时内解决，提供本地化服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可及时派本地化人员前往现场进行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  <w:t>解决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，售后服务体系完善，售后服务保证措施得力，可行性强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1" w:type="dxa"/>
            <w:noWrap w:val="0"/>
            <w:vAlign w:val="center"/>
          </w:tcPr>
          <w:p w14:paraId="1E6B8E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trike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分</w:t>
            </w:r>
          </w:p>
        </w:tc>
      </w:tr>
      <w:tr w14:paraId="136A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noWrap w:val="0"/>
            <w:vAlign w:val="center"/>
          </w:tcPr>
          <w:p w14:paraId="67ED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7" w:type="dxa"/>
            <w:noWrap w:val="0"/>
            <w:vAlign w:val="center"/>
          </w:tcPr>
          <w:p w14:paraId="4228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  <w:lang w:val="en-US" w:eastAsia="zh-CN"/>
              </w:rPr>
              <w:t>商务分</w:t>
            </w:r>
          </w:p>
        </w:tc>
        <w:tc>
          <w:tcPr>
            <w:tcW w:w="6288" w:type="dxa"/>
            <w:noWrap w:val="0"/>
            <w:vAlign w:val="top"/>
          </w:tcPr>
          <w:p w14:paraId="7146E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851" w:type="dxa"/>
            <w:noWrap w:val="0"/>
            <w:vAlign w:val="center"/>
          </w:tcPr>
          <w:p w14:paraId="6992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15分</w:t>
            </w:r>
          </w:p>
        </w:tc>
      </w:tr>
      <w:tr w14:paraId="6951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7030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项目业绩分</w:t>
            </w:r>
          </w:p>
        </w:tc>
        <w:tc>
          <w:tcPr>
            <w:tcW w:w="6288" w:type="dxa"/>
            <w:noWrap w:val="0"/>
            <w:vAlign w:val="top"/>
          </w:tcPr>
          <w:p w14:paraId="1400E5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年1月1日以来供应商有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特教或康教类图书出版业绩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，每有一项得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分，最高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分。[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需提供正式出版的图书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版权页、封面，并加盖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  <w:highlight w:val="none"/>
                <w:u w:val="none"/>
                <w:shd w:val="clear" w:color="auto" w:fill="auto"/>
              </w:rPr>
              <w:t>公章]。</w:t>
            </w:r>
          </w:p>
        </w:tc>
        <w:tc>
          <w:tcPr>
            <w:tcW w:w="851" w:type="dxa"/>
            <w:noWrap w:val="0"/>
            <w:vAlign w:val="center"/>
          </w:tcPr>
          <w:p w14:paraId="3FC1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  <w:t>分</w:t>
            </w:r>
          </w:p>
        </w:tc>
      </w:tr>
      <w:tr w14:paraId="38E3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39" w:type="dxa"/>
            <w:gridSpan w:val="3"/>
            <w:noWrap w:val="0"/>
            <w:vAlign w:val="top"/>
          </w:tcPr>
          <w:p w14:paraId="0B2310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0"/>
                <w:sz w:val="21"/>
                <w:szCs w:val="21"/>
              </w:rPr>
              <w:t>总得分＝1＋2＋3</w:t>
            </w:r>
          </w:p>
        </w:tc>
        <w:tc>
          <w:tcPr>
            <w:tcW w:w="851" w:type="dxa"/>
            <w:noWrap w:val="0"/>
            <w:vAlign w:val="center"/>
          </w:tcPr>
          <w:p w14:paraId="4312B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</w:tbl>
    <w:p w14:paraId="66FBF4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</w:p>
    <w:p w14:paraId="5E6A43F3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358" w:firstLineChars="170"/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  <w:t>三、成交候选人推荐原则</w:t>
      </w:r>
    </w:p>
    <w:p w14:paraId="6C836F3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pacing w:val="0"/>
          <w:sz w:val="21"/>
          <w:szCs w:val="21"/>
        </w:rPr>
      </w:pPr>
      <w:r>
        <w:rPr>
          <w:rFonts w:hint="eastAsia" w:ascii="宋体" w:hAnsi="宋体" w:cs="宋体"/>
          <w:color w:val="auto"/>
          <w:spacing w:val="0"/>
          <w:sz w:val="21"/>
          <w:szCs w:val="21"/>
          <w:lang w:val="en-US" w:eastAsia="zh-CN"/>
        </w:rPr>
        <w:t>评审</w:t>
      </w:r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小组应当根据综合评分情况，按照评审得分由高到低顺序推荐3名</w:t>
      </w:r>
      <w:bookmarkStart w:id="0" w:name="_GoBack"/>
      <w:r>
        <w:rPr>
          <w:rFonts w:hint="eastAsia" w:ascii="宋体" w:hAnsi="宋体" w:cs="宋体"/>
          <w:color w:val="FF0000"/>
          <w:spacing w:val="0"/>
          <w:sz w:val="21"/>
          <w:szCs w:val="21"/>
          <w:lang w:eastAsia="zh-CN"/>
        </w:rPr>
        <w:t>（含）</w:t>
      </w:r>
      <w:bookmarkEnd w:id="0"/>
      <w:r>
        <w:rPr>
          <w:rFonts w:hint="eastAsia" w:ascii="宋体" w:hAnsi="宋体" w:eastAsia="宋体" w:cs="宋体"/>
          <w:color w:val="auto"/>
          <w:spacing w:val="0"/>
          <w:sz w:val="21"/>
          <w:szCs w:val="21"/>
        </w:rPr>
        <w:t>以上成交候选供应商。评审得分相同的，按照最后报价由低到高的顺序推荐。评审得分且最后报价相同的，按照技术指标优劣顺序推荐</w:t>
      </w:r>
      <w:r>
        <w:rPr>
          <w:rFonts w:hint="eastAsia" w:ascii="宋体" w:hAnsi="宋体" w:eastAsia="宋体" w:cs="宋体"/>
          <w:bCs/>
          <w:color w:val="auto"/>
          <w:spacing w:val="0"/>
          <w:sz w:val="21"/>
          <w:szCs w:val="21"/>
        </w:rPr>
        <w:t>。采购人应当确定推荐排名第一的成交候选人为成交供应商。排名第一的成交候选人放弃成交、因不可抗力提出不能履行合同，采购人可以确定排名第二的成交候选人为成交人。排名第二的成交候选人因前款规定的同样原因不能签订合同的，采购人可以确定排名第三的成交候选人为成交供应商，其余以此类推。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  <w:t>采购人也可以决定重新采购。</w:t>
      </w:r>
    </w:p>
    <w:p w14:paraId="3C593ABA"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A45ED"/>
    <w:multiLevelType w:val="multilevel"/>
    <w:tmpl w:val="012A45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、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pStyle w:val="2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E7967"/>
    <w:rsid w:val="53EE6A7B"/>
    <w:rsid w:val="6291238E"/>
    <w:rsid w:val="7026309C"/>
    <w:rsid w:val="77377BBF"/>
    <w:rsid w:val="7EFBD77A"/>
    <w:rsid w:val="7FDC03A6"/>
    <w:rsid w:val="9F2E9DE9"/>
    <w:rsid w:val="BEF71D28"/>
    <w:rsid w:val="CCF89F4D"/>
    <w:rsid w:val="FFC7B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beforeLines="0" w:after="290" w:afterLines="0" w:line="376" w:lineRule="atLeast"/>
      <w:jc w:val="lef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1796</Words>
  <Characters>1821</Characters>
  <Lines>0</Lines>
  <Paragraphs>0</Paragraphs>
  <TotalTime>273</TotalTime>
  <ScaleCrop>false</ScaleCrop>
  <LinksUpToDate>false</LinksUpToDate>
  <CharactersWithSpaces>1836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2026-06-04T03:36:00Z</dcterms:created>
  <dc:creator>Administrator</dc:creator>
  <cp:lastModifiedBy>钱艺琴</cp:lastModifiedBy>
  <dcterms:modified xsi:type="dcterms:W3CDTF">2026-06-05T08:56:08Z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eyJoZGlkIjoiZDQyZDY3OGExOTA0NzRkYTg1NWEyNmM3MWE2YmI0ODkiLCJ1c2VySWQiOiIxMDQwMjk4ODkwIn0=</vt:lpwstr>
  </property>
  <property fmtid="{D5CDD505-2E9C-101B-9397-08002B2CF9AE}" pid="4" name="ICV">
    <vt:lpwstr>685B62A58892A4A03957216AF1F8DE31_43</vt:lpwstr>
  </property>
</Properties>
</file>